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Judgment creditor may have remedy against lessors</w:t>
      </w:r>
    </w:p>
    <w:p>
      <w:pPr>
        <w:jc w:val="both"/>
        <w:spacing w:before="100" w:after="100"/>
        <w:ind w:start="360"/>
        <w:ind w:firstLine="360"/>
      </w:pPr>
      <w:r>
        <w:rPr/>
      </w:r>
      <w:r>
        <w:rPr/>
      </w:r>
      <w:r>
        <w:t xml:space="preserve">When any judgment is recovered and the foreign company neglects, for 60 days, to satisfy it, the judgment creditor may have a civil action against the foreign company for the recovery of the amount of the judgment, with interest and costs.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§5004. Judgment creditor may have remedy against lessors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Judgment creditor may have remedy against lessors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§5004. JUDGMENT CREDITOR MAY HAVE REMEDY AGAINST LESSORS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