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§1983. Interest rate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Interest rate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§1983. INTEREST RATE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