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§1975. Provisions in case of default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Provisions in case of default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§1975. PROVISIONS IN CASE OF DEFAULT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