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154-B</w:t>
        <w:t xml:space="preserve">.  </w:t>
      </w:r>
      <w:r>
        <w:rPr>
          <w:b/>
        </w:rPr>
        <w:t xml:space="preserve">Coercive action</w:t>
      </w:r>
    </w:p>
    <w:p>
      <w:pPr>
        <w:jc w:val="both"/>
        <w:spacing w:before="100" w:after="100"/>
        <w:ind w:start="360"/>
        <w:ind w:firstLine="360"/>
      </w:pPr>
      <w:r>
        <w:rPr/>
      </w:r>
      <w:r>
        <w:rPr/>
      </w:r>
      <w:r>
        <w:t xml:space="preserve">In no event shall the department either advance the time of condemnation, or defer negotiations or condemnation or take any other action coercive in nature, in order to compel an agreement on the price to be paid for property or property rights.</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§154-B. Coercive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§154-B. Coercive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§154-B. COERCIVE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