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Preservation of existing monuments</w:t>
      </w:r>
    </w:p>
    <w:p>
      <w:pPr>
        <w:jc w:val="both"/>
        <w:spacing w:before="100" w:after="100"/>
        <w:ind w:start="360"/>
        <w:ind w:firstLine="360"/>
      </w:pPr>
      <w:r>
        <w:rPr/>
      </w:r>
      <w:r>
        <w:rPr/>
      </w:r>
      <w:r>
        <w:t xml:space="preserve">No person shall willfully or maliciously disturb or injure, or, except as otherwise provided in this subchapter, remove, obliterate, deface or cover up any monument or mark designating this boundary line of the State. Any persons desirous of removing and replacing any such monument or mark may apply in writing to the Department of Transportation, who may grant permission therefor under its supervision, first making provision for preserving the exact location of the original boundary or mark, and giving notice to the State of New Hampshire of the time and place at which proposed action is to be taken. The monument shall be reset in the identical location from which it was removed or at a convenient distance therefrom upon the boundary line. A full description of any change in such monument or mark, signed by the representatives of both states, shall be recorded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 Preservation of existing monuments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Preservation of existing monuments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§1114. PRESERVATION OF EXISTING MONUMENTS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