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17</w:t>
      </w:r>
    </w:p>
    <w:p>
      <w:pPr>
        <w:jc w:val="center"/>
        <w:ind w:start="360"/>
        <w:spacing w:before="300" w:after="300"/>
      </w:pPr>
      <w:r>
        <w:rPr>
          <w:b/>
        </w:rPr>
        <w:t xml:space="preserve">LIABILITY FOR DEFECTS</w:t>
      </w:r>
    </w:p>
    <w:p>
      <w:pPr>
        <w:jc w:val="both"/>
        <w:spacing w:before="100" w:after="100"/>
        <w:ind w:start="1080" w:hanging="720"/>
      </w:pPr>
      <w:r>
        <w:rPr>
          <w:b/>
        </w:rPr>
        <w:t>§</w:t>
        <w:t>1451</w:t>
        <w:t xml:space="preserve">.  </w:t>
      </w:r>
      <w:r>
        <w:rPr>
          <w:b/>
        </w:rPr>
        <w:t xml:space="preserve">Judgments against towns and counties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1973, c. 537, §26 (AMD). PL 1977, c. 578, §6 (AMD). PL 1979, c. 603 (AMD). PL 1985, c. 257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17. LIABILITY FOR DEFECTS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17. LIABILITY FOR DEFECTS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Chapter 17. LIABILITY FOR DEFECTS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