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7931</w:t>
        <w:t xml:space="preserve">.  </w:t>
      </w:r>
      <w:r>
        <w:rPr>
          <w:b/>
        </w:rPr>
        <w:t xml:space="preserve">Policy</w:t>
      </w:r>
    </w:p>
    <w:p>
      <w:pPr>
        <w:jc w:val="both"/>
        <w:spacing w:before="100" w:after="100"/>
        <w:ind w:start="360"/>
        <w:ind w:firstLine="360"/>
      </w:pPr>
      <w:r>
        <w:rPr/>
      </w:r>
      <w:r>
        <w:rPr/>
      </w:r>
      <w:r>
        <w:t xml:space="preserve">It is the purpose of this chapter to develop a mechanism by which the concept of receivership can be utilized for the protection of residents in long-term care facilities, clients of home health care providers and personal care agencies, general and specialty hospitals, critical access hospitals, ambulatory surgical centers, hospice agencies and end-stage renal disease units.  It is the intent of the Legislature that receivership be a remedy of last resort when all other methods of remedy have failed or when the implementation of other remedies would be futile.</w:t>
      </w:r>
      <w:r>
        <w:t xml:space="preserve">  </w:t>
      </w:r>
      <w:r xmlns:wp="http://schemas.openxmlformats.org/drawingml/2010/wordprocessingDrawing" xmlns:w15="http://schemas.microsoft.com/office/word/2012/wordml">
        <w:rPr>
          <w:rFonts w:ascii="Arial" w:hAnsi="Arial" w:cs="Arial"/>
          <w:sz w:val="22"/>
          <w:szCs w:val="22"/>
        </w:rPr>
        <w:t xml:space="preserve">[PL 2023, c. 309,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PL 1995, c. 620, §4 (AMD). PL 1999, c. 384, §5 (AMD). PL 2023, c. 309,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§7931.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§7931.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§7931.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