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7322</w:t>
        <w:t xml:space="preserve">.  </w:t>
      </w:r>
      <w:r>
        <w:rPr>
          <w:b/>
        </w:rPr>
        <w:t xml:space="preserve">Eligibility</w:t>
      </w:r>
    </w:p>
    <w:p>
      <w:pPr>
        <w:jc w:val="both"/>
        <w:spacing w:before="100" w:after="100"/>
        <w:ind w:start="360"/>
        <w:ind w:firstLine="360"/>
      </w:pPr>
      <w:r>
        <w:rPr/>
      </w:r>
      <w:r>
        <w:rPr/>
      </w:r>
      <w:r>
        <w:t xml:space="preserve">An adult with long-term care needs is eligible for in-home and community support services under this chapter if the department or its designee determines that the adult:</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Inappropriate placement.</w:t>
        <w:t xml:space="preserve"> </w:t>
      </w:r>
      <w:r>
        <w:t xml:space="preserve"> </w:t>
      </w:r>
      <w:r>
        <w:t xml:space="preserve">Is at risk of being or already has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Need for services.</w:t>
        <w:t xml:space="preserve"> </w:t>
      </w:r>
      <w:r>
        <w:t xml:space="preserve"> </w:t>
      </w:r>
      <w:r>
        <w:t xml:space="preserve">Has a need for in-home and community support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Income and support.</w:t>
        <w:t xml:space="preserve"> </w:t>
      </w:r>
      <w:r>
        <w:t xml:space="preserve"> </w:t>
      </w:r>
      <w:r>
        <w:t xml:space="preserve">Has no or insufficient personal income or other support from public services, family members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§7322.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