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Relatives as providers</w:t>
      </w:r>
    </w:p>
    <w:p>
      <w:pPr>
        <w:jc w:val="both"/>
        <w:spacing w:before="100" w:after="100"/>
        <w:ind w:start="360"/>
        <w:ind w:firstLine="360"/>
      </w:pPr>
      <w:r>
        <w:rPr/>
      </w:r>
      <w:r>
        <w:rPr/>
      </w:r>
      <w:r>
        <w:t xml:space="preserve">The department may not refuse to pay a relative of an adult with long-term care needs for the provision of in-home and community support services or personal care assistance services if the relative is qualified to provide the service and the payment is not prohibited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1989, c. 714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§7307. Relatives as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Relatives as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§7307. RELATIVES AS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