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4100</w:t>
        <w:t xml:space="preserve">.  </w:t>
      </w:r>
      <w:r>
        <w:rPr>
          <w:b/>
        </w:rPr>
        <w:t xml:space="preserve">Quality child care site</w:t>
      </w:r>
    </w:p>
    <w:p>
      <w:pPr>
        <w:jc w:val="both"/>
        <w:spacing w:before="100" w:after="100"/>
        <w:ind w:start="360"/>
      </w:pPr>
      <w:r>
        <w:rPr>
          <w:b/>
        </w:rPr>
        <w:t>(REALLOCATED FROM TITLE 22, SECTION 4095)</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"quality child care site" means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Head Start and Child Care;</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Head Start and Child Care; and</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[RR 1999, c. 2, §26 (RAL).]</w:t>
      </w:r>
    </w:p>
    <w:p>
      <w:pPr>
        <w:jc w:val="both"/>
        <w:spacing w:before="100" w:after="0"/>
        <w:ind w:start="360"/>
      </w:pPr>
      <w:r>
        <w:rPr/>
      </w:r>
      <w:r>
        <w:rPr/>
      </w:r>
      <w:r>
        <w:t xml:space="preserve">For large, multifunction agencies, only those portions of the child care sites that have been reviewed by the accrediting body may be considered quality child care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Pt. B, §6 (REV).]</w:t>
      </w:r>
    </w:p>
    <w:p>
      <w:pPr>
        <w:jc w:val="both"/>
        <w:spacing w:before="100" w:after="0"/>
        <w:ind w:start="360"/>
        <w:ind w:firstLine="360"/>
      </w:pPr>
      <w:r>
        <w:rPr>
          <w:b/>
        </w:rPr>
        <w:t>2</w:t>
        <w:t xml:space="preserve">.  </w:t>
      </w:r>
      <w:r>
        <w:rPr>
          <w:b/>
        </w:rPr>
        <w:t xml:space="preserve">List of sites.</w:t>
        <w:t xml:space="preserve"> </w:t>
      </w:r>
      <w:r>
        <w:t xml:space="preserve"> </w:t>
      </w:r>
      <w:r>
        <w:t xml:space="preserve">The department shall develop and maintain a list of quality child care sites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§4100. Quality child care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§4100. Quality child care site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§4100. QUALITY CHILD CARE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