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4036-A</w:t>
        <w:t xml:space="preserve">.  </w:t>
      </w:r>
      <w:r>
        <w:rPr>
          <w:b/>
        </w:rPr>
        <w:t xml:space="preserve">Criminal penalty</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"order" means an order entered in a case filed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443, §2 (NEW).]</w:t>
      </w:r>
    </w:p>
    <w:p>
      <w:pPr>
        <w:jc w:val="both"/>
        <w:spacing w:before="100" w:after="0"/>
        <w:ind w:start="360"/>
        <w:ind w:firstLine="360"/>
      </w:pPr>
      <w:r>
        <w:rPr>
          <w:b/>
        </w:rPr>
        <w:t>2</w:t>
        <w:t xml:space="preserve">.  </w:t>
      </w:r>
      <w:r>
        <w:rPr>
          <w:b/>
        </w:rPr>
        <w:t xml:space="preserve">Crime committed.</w:t>
        <w:t xml:space="preserve"> </w:t>
      </w:r>
      <w:r>
        <w:t xml:space="preserve"> </w:t>
      </w:r>
      <w:r>
        <w:t xml:space="preserve">When disposition under </w:t>
      </w:r>
      <w:r>
        <w:t>section 4036</w:t>
      </w:r>
      <w:r>
        <w:t xml:space="preserve"> includes a provision that a party named in a petition not have contact with a child or children named in the petition or a provision that a party named in the petition not enter the residence of a child or children named in the petition, and the party has prior actual notice of the order containing those provisions, violation of that provision is a Class D crime.  The criminal sanctions in this subsection are in addition to and not in lieu of contempt powers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443, §2 (NEW).]</w:t>
      </w:r>
    </w:p>
    <w:p>
      <w:pPr>
        <w:jc w:val="both"/>
        <w:spacing w:before="100" w:after="0"/>
        <w:ind w:start="360"/>
        <w:ind w:firstLine="360"/>
      </w:pPr>
      <w:r>
        <w:rPr>
          <w:b/>
        </w:rPr>
        <w:t>3</w:t>
        <w:t xml:space="preserve">.  </w:t>
      </w:r>
      <w:r>
        <w:rPr>
          <w:b/>
        </w:rPr>
        <w:t xml:space="preserve">Warrantless arrest.</w:t>
        <w:t xml:space="preserve"> </w:t>
      </w:r>
      <w:r>
        <w:t xml:space="preserve"> </w:t>
      </w:r>
      <w:r>
        <w:t xml:space="preserve">Notwithstanding any statutory provision to the contrary, an arrest for criminal violation of an order may be without warrant upon probable cause whether or not the violation is committed in the presence of the law enforcement officer.  The law enforcement officer may verify, if necessary, the existence of an order by telephone or radio communication with an agency with knowledge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§4036-A. Criminal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§4036-A. Criminal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§4036-A. CRIMINAL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