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3890-B</w:t>
        <w:t xml:space="preserve">.  </w:t>
      </w:r>
      <w:r>
        <w:rPr>
          <w:b/>
        </w:rPr>
        <w:t xml:space="preserve">Liberal construction</w:t>
      </w:r>
    </w:p>
    <w:p>
      <w:pPr>
        <w:jc w:val="both"/>
        <w:spacing w:before="100" w:after="100"/>
        <w:ind w:start="360"/>
        <w:ind w:firstLine="360"/>
      </w:pPr>
      <w:r>
        <w:rPr/>
      </w:r>
      <w:r>
        <w:rPr/>
      </w:r>
      <w:r>
        <w:t xml:space="preserve">This chapter must be construed liberally to effect the interests and purposes of the fund for the prevention of child abuse and neglect in the State and must be broadly interpreted to effect the intent and purposes and may not be interpreted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§3890-B.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§3890-B.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§3890-B.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