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B</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s and purposes of the fund for the prevention of child abuse and neglect in the State and must be broadly interpreted to effect the intent and purposes and may not be interpret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0-B.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B.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B.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