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3823</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liens filed pursuant to </w:t>
      </w:r>
      <w:r>
        <w:t>section 3822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issued under </w:t>
      </w:r>
      <w:r>
        <w:t>section 3822</w:t>
      </w:r>
      <w:r>
        <w:t xml:space="preserve"> may be brought in the county where the property is located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issued under </w:t>
      </w:r>
      <w:r>
        <w:t>section 3822</w:t>
      </w:r>
      <w:r>
        <w:t xml:space="preserve"> may be brought in the county where the obligor resides or the county where the property is located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§3823. Foreclosure on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§3823. Foreclosure on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§3823. FORECLOSURE ON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