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Policy and intent</w:t>
      </w:r>
    </w:p>
    <w:p>
      <w:pPr>
        <w:jc w:val="both"/>
        <w:spacing w:before="100" w:after="100"/>
        <w:ind w:start="360"/>
        <w:ind w:firstLine="360"/>
      </w:pPr>
      <w:r>
        <w:rPr/>
      </w:r>
      <w:r>
        <w:rPr/>
      </w:r>
      <w:r>
        <w:t xml:space="preserve">It is the policy of the State to use available resources and institutions to provide education, training and job opportunities to qualified and eligible recipients of the Temporary Assistance for Needy Families Program with the goal of enabling them to become self-sufficient and to eliminate their dependency on public assistance.</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w:pPr>
        <w:jc w:val="both"/>
        <w:spacing w:before="100" w:after="100"/>
        <w:ind w:start="360"/>
        <w:ind w:firstLine="360"/>
      </w:pPr>
      <w:r>
        <w:rPr/>
      </w:r>
      <w:r>
        <w:rPr/>
      </w:r>
      <w:r>
        <w:t xml:space="preserve">It is the intent of this chapter to commit these resources and institutions to this goal, and to provide for effective coordination that can result in recipients of Temporary Assistance for Needy Families becoming self-sufficient.</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§3771. Policy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Policy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§3771. POLICY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