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3765</w:t>
        <w:t xml:space="preserve">.  </w:t>
      </w:r>
      <w:r>
        <w:rPr>
          <w:b/>
        </w:rPr>
        <w:t xml:space="preserve">Payments to guardian or conservator</w:t>
      </w:r>
    </w:p>
    <w:p>
      <w:pPr>
        <w:jc w:val="both"/>
        <w:spacing w:before="100" w:after="100"/>
        <w:ind w:start="360"/>
        <w:ind w:firstLine="360"/>
      </w:pPr>
      <w:r>
        <w:rPr/>
      </w:r>
      <w:r>
        <w:rPr/>
      </w:r>
      <w:r>
        <w:t xml:space="preserve">When a relative with whom a child is living is found by the department to be incapable of taking care of the child's money, payment may be made only to a legally appointed guardian or conservator and, notwithstanding </w:t>
      </w:r>
      <w:r>
        <w:t>Title 18‑C, Article 5, Part 4</w:t>
      </w:r>
      <w:r>
        <w:t xml:space="preserve">, in the matter of infirmities of age or physical disability to manage the child's estate with prudence and understanding, the Probate Court may appoint any suitable person as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C,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2017, c. 402, Pt. C, §58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§3765. Payments to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§3765. Payments to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§3765. PAYMENTS TO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