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3736</w:t>
        <w:t xml:space="preserve">.  </w:t>
      </w:r>
      <w:r>
        <w:rPr>
          <w:b/>
        </w:rPr>
        <w:t xml:space="preserve">Eligibility</w:t>
      </w:r>
    </w:p>
    <w:p>
      <w:pPr>
        <w:jc w:val="both"/>
        <w:spacing w:before="100" w:after="0"/>
        <w:ind w:start="360"/>
        <w:ind w:firstLine="360"/>
      </w:pPr>
      <w:r>
        <w:rPr>
          <w:b/>
        </w:rPr>
        <w:t>1</w:t>
        <w:t xml:space="preserve">.  </w:t>
      </w:r>
      <w:r>
        <w:rPr>
          <w:b/>
        </w:rPr>
        <w:t xml:space="preserve">Single application form.</w:t>
        <w:t xml:space="preserve"> </w:t>
      </w:r>
      <w:r>
        <w:t xml:space="preserve"> </w:t>
      </w:r>
      <w:r>
        <w:t xml:space="preserve">By October 1, 1993, the department shall develop a universal application for all publicly funded child care programs for applicants who are seeking child care as their primary service.  By January 1, 1994, the department shall require all caseworkers and contractors to use the form to determine eligibility for those applicants.  Applicants submitting applications to more than one caseworker or contractor may submit photocopies or facsimile copies.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388, §8 (AMD).]</w:t>
      </w:r>
    </w:p>
    <w:p>
      <w:pPr>
        <w:jc w:val="both"/>
        <w:spacing w:before="100" w:after="0"/>
        <w:ind w:start="360"/>
        <w:ind w:firstLine="360"/>
      </w:pPr>
      <w:r>
        <w:rPr>
          <w:b/>
        </w:rPr>
        <w:t>2</w:t>
        <w:t xml:space="preserve">.  </w:t>
      </w:r>
      <w:r>
        <w:rPr>
          <w:b/>
        </w:rPr>
        <w:t xml:space="preserve">Eligibility decision within 15 days; retroactive reimbursement.</w:t>
        <w:t xml:space="preserve"> </w:t>
      </w:r>
      <w:r>
        <w:t xml:space="preserve"> </w:t>
      </w:r>
      <w:r>
        <w:t xml:space="preserve">The department shall determine eligibility for child care programs administered under this chapter within 15 days of receiving a completed application.  If a contractor determines eligibility, the department shall require that the contractor determine eligibility within 15 days of receiving a completed application. The department shall provide retroactive reimbursement to a child care program that provided tuition assistance to an applicant during the application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§2 (AMD).]</w:t>
      </w:r>
    </w:p>
    <w:p>
      <w:pPr>
        <w:jc w:val="both"/>
        <w:spacing w:before="100" w:after="0"/>
        <w:ind w:start="360"/>
        <w:ind w:firstLine="360"/>
      </w:pPr>
      <w:r>
        <w:rPr>
          <w:b/>
        </w:rPr>
        <w:t>3</w:t>
        <w:t xml:space="preserve">.  </w:t>
      </w:r>
      <w:r>
        <w:rPr>
          <w:b/>
        </w:rPr>
        <w:t xml:space="preserve">Application; effective date.</w:t>
        <w:t xml:space="preserve"> </w:t>
      </w:r>
      <w:r>
        <w:t xml:space="preserve"> </w:t>
      </w:r>
      <w:r>
        <w:t xml:space="preserve">If an applicant for child care programs administered under this chapter is determined eligible, child care assistance must be provided retroactively to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RRRR, §1 (NEW).]</w:t>
      </w:r>
    </w:p>
    <w:p>
      <w:pPr>
        <w:jc w:val="both"/>
        <w:spacing w:before="100" w:after="0"/>
        <w:ind w:start="360"/>
        <w:ind w:firstLine="360"/>
      </w:pPr>
      <w:r>
        <w:rPr>
          <w:b/>
        </w:rPr>
        <w:t>4</w:t>
        <w:t xml:space="preserve">.  </w:t>
      </w:r>
      <w:r>
        <w:rPr>
          <w:b/>
        </w:rPr>
        <w:t xml:space="preserve">Changes in eligibility.</w:t>
        <w:t xml:space="preserve"> </w:t>
      </w:r>
      <w:r>
        <w:t xml:space="preserve"> </w:t>
      </w:r>
      <w:r>
        <w:t xml:space="preserve">The department shall notify a provider of child care services provided under this chapter within 2 business days of when a recipient's eligibility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2011, c. 388, §8 (AMD). PL 2015, c. 267, Pt. RRRR, §1 (AMD). PL 2023, c. 412, Pt. VVV,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§3736.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§3736.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§3736.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