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353</w:t>
        <w:t xml:space="preserve">.  </w:t>
      </w:r>
      <w:r>
        <w:rPr>
          <w:b/>
        </w:rPr>
        <w:t xml:space="preserve">Implementation reports</w:t>
      </w:r>
    </w:p>
    <w:p>
      <w:pPr>
        <w:jc w:val="both"/>
        <w:spacing w:before="100" w:after="100"/>
        <w:ind w:start="360"/>
      </w:pPr>
      <w:r>
        <w:rPr>
          <w:b/>
        </w:rPr>
        <w:t>(REPEALED)</w:t>
      </w:r>
    </w:p>
    <w:p>
      <w:pPr>
        <w:jc w:val="both"/>
        <w:spacing w:before="100" w:after="100"/>
        <w:ind w:start="360"/>
      </w:pPr>
      <w:r>
        <w:rPr>
          <w:b/>
        </w:rPr>
        <w:t>(REALLOCATED TO TITLE 22, SECTION 350-C)</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691, §1 (NEW). PL 1979, c. 147, §1 (AMD). PL 1981, c. 470, §A60 (AMD). RR 2001, c. 2, §A32 (RAL). PL 2001, c. 664, §2 (NEW). MRSA T. 22 §370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§353. Implementation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§353. Implementation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§353. IMPLEMENTATION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