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--index</w:t>
      </w:r>
    </w:p>
    <w:p>
      <w:pPr>
        <w:jc w:val="both"/>
        <w:spacing w:before="100" w:after="100"/>
        <w:ind w:start="360"/>
        <w:ind w:firstLine="360"/>
      </w:pPr>
      <w:r>
        <w:rPr/>
      </w:r>
      <w:r>
        <w:rPr/>
      </w:r>
      <w:r>
        <w:t xml:space="preserve">The Registrar of Vital Statistics shall prepare and keep an alphabetical index, by the names of both parties, of all annulments and divorces reported. When requested, the registrar shall cause a search to be made of the files for the record of any divorce or annulment and shall furnish a copy thereof. The fee for such search and copy must reasonably reflect the cost of the service, as specified in </w:t>
      </w:r>
      <w:r>
        <w:t>Title 22‑A, section 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§3 (AMD). PL 1987, c. 259, §1 (AMD). PL 2007, c. 539, Pt. N,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§2804. --index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--index</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§2804. --INDEX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