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2761-C</w:t>
        <w:t xml:space="preserve">.  </w:t>
      </w:r>
      <w:r>
        <w:rPr>
          <w:b/>
        </w:rPr>
        <w:t xml:space="preserve">Certificate of birth resulting in stillbirth</w:t>
      </w:r>
    </w:p>
    <w:p>
      <w:pPr>
        <w:jc w:val="both"/>
        <w:spacing w:before="100" w:after="100"/>
        <w:ind w:start="360"/>
        <w:ind w:firstLine="360"/>
      </w:pPr>
      <w:r>
        <w:rPr/>
      </w:r>
      <w:r>
        <w:rPr/>
      </w:r>
      <w:r>
        <w:t xml:space="preserve">Upon request of a parent, in the event of an unintentional intrauterine death of a fetus of 20 or more weeks of gestation, the department shall issue a certificate of birth resulting in stillbirth bearing the official seal of the State.  The certificate must be based upon information drawn from a previously filed certificate of fetal death under </w:t>
      </w:r>
      <w:r>
        <w:t>section 2841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§2761-C. Certificate of birth resulting in stillbirth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§2761-C. Certificate of birth resulting in stillbirth</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§2761-C. CERTIFICATE OF BIRTH RESULTING IN STILLBIRTH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