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2666</w:t>
        <w:t xml:space="preserve">.  </w:t>
      </w:r>
      <w:r>
        <w:rPr>
          <w:b/>
        </w:rPr>
        <w:t xml:space="preserve">Health and safety</w:t>
      </w:r>
    </w:p>
    <w:p>
      <w:pPr>
        <w:jc w:val="both"/>
        <w:spacing w:before="100" w:after="0"/>
        <w:ind w:start="360"/>
        <w:ind w:firstLine="360"/>
      </w:pPr>
      <w:r>
        <w:rPr>
          <w:b/>
        </w:rPr>
        <w:t>1</w:t>
        <w:t xml:space="preserve">.  </w:t>
      </w:r>
      <w:r>
        <w:rPr>
          <w:b/>
        </w:rPr>
        <w:t xml:space="preserve">Employment; communicable disease.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(RP).]</w:t>
      </w:r>
    </w:p>
    <w:p>
      <w:pPr>
        <w:jc w:val="both"/>
        <w:spacing w:before="100" w:after="0"/>
        <w:ind w:start="360"/>
        <w:ind w:firstLine="360"/>
      </w:pPr>
      <w:r>
        <w:rPr>
          <w:b/>
        </w:rPr>
        <w:t>2</w:t>
        <w:t xml:space="preserve">.  </w:t>
      </w:r>
      <w:r>
        <w:rPr>
          <w:b/>
        </w:rPr>
        <w:t xml:space="preserve">Nuisance.</w:t>
        <w:t xml:space="preserve"> </w:t>
      </w:r>
      <w:r>
        <w:t xml:space="preserve"> </w:t>
      </w:r>
      <w:r>
        <w:t xml:space="preserve">Any public pool or spa found to be unsanitary, as defined by the department's rules, is declared to be a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(AMD).]</w:t>
      </w:r>
    </w:p>
    <w:p>
      <w:pPr>
        <w:jc w:val="both"/>
        <w:spacing w:before="100" w:after="0"/>
        <w:ind w:start="360"/>
        <w:ind w:firstLine="360"/>
      </w:pPr>
      <w:r>
        <w:rPr>
          <w:b/>
        </w:rPr>
        <w:t>3</w:t>
        <w:t xml:space="preserve">.  </w:t>
      </w:r>
      <w:r>
        <w:rPr>
          <w:b/>
        </w:rPr>
        <w:t xml:space="preserve">Supervision.</w:t>
        <w:t xml:space="preserve"> </w:t>
      </w:r>
      <w:r>
        <w:t xml:space="preserve"> </w:t>
      </w:r>
      <w:r>
        <w:t xml:space="preserve">Every public pool or spa must be under the supervision of a person as defined in standards by American National Standards Institute and the Association of Pool and Spa Professionals or successor organizations who shall assume the responsibility for compliance with this chapter relating to the safe and sanitary operation and maintenance of a public pool or spa.  This chapter may not be construed to require a lifeguard to be on duty when a public pool or spa is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(AMD).]</w:t>
      </w:r>
    </w:p>
    <w:p>
      <w:pPr>
        <w:jc w:val="both"/>
        <w:spacing w:before="100" w:after="0"/>
        <w:ind w:start="360"/>
        <w:ind w:firstLine="360"/>
      </w:pPr>
      <w:r>
        <w:rPr>
          <w:b/>
        </w:rPr>
        <w:t>4</w:t>
        <w:t xml:space="preserve">.  </w:t>
      </w:r>
      <w:r>
        <w:rPr>
          <w:b/>
        </w:rPr>
        <w:t xml:space="preserve">Anti-entrapment devices required.</w:t>
        <w:t xml:space="preserve"> </w:t>
      </w:r>
      <w:r>
        <w:t xml:space="preserve"> </w:t>
      </w:r>
      <w:r>
        <w:t xml:space="preserve">Every public pool and public spa must comply with the federal swimming pool and spa drain cover standards as specified in the Virginia Graeme Baker Pool and Spa Safety Act, 15 United States Code, Sections 8001 to 8006.  The Maine Center for Disease Control and Prevention shall enforce the provisions of this subsection provided federal funds are available to cover all costs associated with this enforcement activity.  Enforcement includes, but is not limited to, the closure of any public pool or public spa that does not meet the requirements of the federal swimming pool and spa drain cover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§8 (AMD). PL 2009, c. 206,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§2666. Health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§2666. Health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§2666. HEALTH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