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2642</w:t>
        <w:t xml:space="preserve">.  </w:t>
      </w:r>
      <w:r>
        <w:rPr>
          <w:b/>
        </w:rPr>
        <w:t xml:space="preserve">Municipal regulation authorized; penalty</w:t>
      </w:r>
    </w:p>
    <w:p>
      <w:pPr>
        <w:jc w:val="both"/>
        <w:spacing w:before="100" w:after="100"/>
        <w:ind w:start="360"/>
        <w:ind w:firstLine="360"/>
      </w:pPr>
      <w:r>
        <w:rPr>
          <w:b/>
        </w:rPr>
        <w:t>1</w:t>
        <w:t xml:space="preserve">.  </w:t>
      </w:r>
      <w:r>
        <w:rPr>
          <w:b/>
        </w:rPr>
        <w:t xml:space="preserve">Municipal regulations authorized.</w:t>
        <w:t xml:space="preserve"> </w:t>
      </w:r>
      <w:r>
        <w:t xml:space="preserve"> </w:t>
      </w:r>
      <w:r>
        <w:t xml:space="preserve">The municipal officers of each municipality, after notice and public hearing, may adopt regulations governing the surface uses of sources of public water supply, portions thereof or land overlying ground water aquifers and their recharge areas used as sources of public water supply that are located within that municipality in order to protect the quality of such sources of public water supply and the health, safety and welfare of persons dependent upon such supplies.</w:t>
      </w:r>
    </w:p>
    <w:p>
      <w:pPr>
        <w:jc w:val="both"/>
        <w:spacing w:before="100" w:after="0"/>
        <w:ind w:start="360"/>
      </w:pPr>
      <w:r>
        <w:rPr/>
      </w:r>
      <w:r>
        <w:rPr/>
      </w:r>
      <w:r>
        <w:t xml:space="preserve">At least 15 days prior to public hearings held under this section, notice of the hearing must be published in a newspaper of general circulation in the county in which the municipality is located and mailed by certified mail to each owner of land bordering the source of public water supply within that municipality. Regulations adopted pursuant to this section become void upon the expiration of one year from the date of the adoption unless sooner ratified by vote of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664, §1 (AMD).]</w:t>
      </w:r>
    </w:p>
    <w:p>
      <w:pPr>
        <w:jc w:val="both"/>
        <w:spacing w:before="100" w:after="0"/>
        <w:ind w:start="360"/>
        <w:ind w:firstLine="360"/>
      </w:pPr>
      <w:r>
        <w:rPr>
          <w:b/>
        </w:rPr>
        <w:t>2</w:t>
        <w:t xml:space="preserve">.  </w:t>
      </w:r>
      <w:r>
        <w:rPr>
          <w:b/>
        </w:rPr>
        <w:t xml:space="preserve">Penalty.</w:t>
        <w:t xml:space="preserve"> </w:t>
      </w:r>
      <w:r>
        <w:t xml:space="preserve"> </w:t>
      </w:r>
      <w:r>
        <w:t xml:space="preserve">Whoever willfully violates any regulation established under the authority of this section must, upon conviction, be penalized in accordance with </w:t>
      </w:r>
      <w:r>
        <w:t>Title 30‑A, section 4452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§5 (AMD). PL 1985, c. 479, §1 (AMD). PL 1987, c. 192, §2 (AMD). PL 1991, c. 824, §A41 (AMD). PL 1995, c. 664,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§2642. Municipal regulation authorized;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§2642. Municipal regulation authorized;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§2642. MUNICIPAL REGULATION AUTHORIZED;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