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Prohibited acts</w:t>
      </w:r>
    </w:p>
    <w:p>
      <w:pPr>
        <w:jc w:val="both"/>
        <w:spacing w:before="100" w:after="100"/>
        <w:ind w:start="360"/>
        <w:ind w:firstLine="360"/>
      </w:pPr>
      <w:r>
        <w:rPr/>
      </w:r>
      <w:r>
        <w:rPr/>
      </w:r>
      <w:r>
        <w:t xml:space="preserve">The following acts and the causing thereof are prohibited: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Failure to comply with section 2615 or dissemination of certain misleading information.</w:t>
        <w:t xml:space="preserve"> </w:t>
      </w:r>
      <w:r>
        <w:t xml:space="preserve"> </w:t>
      </w:r>
      <w:r>
        <w:t xml:space="preserve">Failure by a supplier of water to comply with the requirements of </w:t>
      </w:r>
      <w:r>
        <w:t>section 2615</w:t>
      </w:r>
      <w:r>
        <w:t xml:space="preserve">, or dissemination by such supplier of any false or misleading information with respect to remedial actions being undertaken to achieve compliance with state primary drinking water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Failure to comply with regulations and actions under sections 2611, 2612, 2613 and 2614.</w:t>
        <w:t xml:space="preserve"> </w:t>
      </w:r>
      <w:r>
        <w:t xml:space="preserve"> </w:t>
      </w:r>
      <w:r>
        <w:t xml:space="preserve">Failure by a supplier of water to comply with the regulations for water quality, monitoring, maintenance, operations, reporting and corrective actions pursuant to </w:t>
      </w:r>
      <w:r>
        <w:t>sections 2611</w:t>
      </w:r>
      <w:r>
        <w:t xml:space="preserve">, </w:t>
      </w:r>
      <w:r>
        <w:t>2612</w:t>
      </w:r>
      <w:r>
        <w:t xml:space="preserve">, </w:t>
      </w:r>
      <w:r>
        <w:t>2613</w:t>
      </w:r>
      <w:r>
        <w:t xml:space="preserve"> and </w:t>
      </w:r>
      <w:r>
        <w:t>2614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Refusal to allow entry under section 2612.</w:t>
        <w:t xml:space="preserve"> </w:t>
      </w:r>
      <w:r>
        <w:t xml:space="preserve"> </w:t>
      </w:r>
      <w:r>
        <w:t xml:space="preserve">The refusal of a supplier of water to allow entry and inspection of establishments, facilities or other property pursuant to </w:t>
      </w:r>
      <w:r>
        <w:t>section 2612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