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Notice</w:t>
      </w:r>
    </w:p>
    <w:p>
      <w:pPr>
        <w:jc w:val="both"/>
        <w:spacing w:before="100" w:after="100"/>
        <w:ind w:start="360"/>
        <w:ind w:firstLine="360"/>
      </w:pPr>
      <w:r>
        <w:rPr/>
      </w:r>
      <w:r>
        <w:rPr/>
      </w:r>
      <w:r>
        <w:t xml:space="preserve">Nothing in this subchapter shall be construed as requiring the Commissioner of Agriculture, Conservation and Forestry to report for the institution of proceedings under said subchapter minor violations of said subchapter, whenever the commissioner believes that the public interest will be adequately served in the circumstances by a suitable written notice or warning.</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§2160.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§2160.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