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2086</w:t>
        <w:t xml:space="preserve">.  </w:t>
      </w:r>
      <w:r>
        <w:rPr>
          <w:b/>
        </w:rPr>
        <w:t xml:space="preserve">Penalties</w:t>
      </w:r>
    </w:p>
    <w:p>
      <w:pPr>
        <w:jc w:val="both"/>
        <w:spacing w:before="100" w:after="100"/>
        <w:ind w:start="360"/>
        <w:ind w:firstLine="360"/>
      </w:pPr>
      <w:r>
        <w:rPr/>
      </w:r>
      <w:r>
        <w:rPr/>
      </w:r>
      <w:r>
        <w:t xml:space="preserve">A facility or a health care practitioner that makes or causes to be made a referral prohibited under </w:t>
      </w:r>
      <w:r>
        <w:t>section 2085</w:t>
      </w:r>
      <w:r>
        <w:t xml:space="preserve"> or presents or causes to be presented a bill or claim for service that the facility or health care practitioner knows or should know is prohibited by </w:t>
      </w:r>
      <w:r>
        <w:t>section 2085</w:t>
      </w:r>
      <w:r>
        <w:t xml:space="preserve"> is subject to a civil penalty of no more than $2,000 for each referral, bill or claim.</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100"/>
        <w:ind w:start="360"/>
        <w:ind w:firstLine="360"/>
      </w:pPr>
      <w:r>
        <w:rPr/>
      </w:r>
      <w:r>
        <w:rPr/>
      </w:r>
      <w:r>
        <w:t xml:space="preserve">A violation of this chapter by a health care practitioner or a facility constitutes grounds for disciplinary action by the applicable licensing body.</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§2086.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§2086.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