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2040</w:t>
        <w:t xml:space="preserve">.  </w:t>
      </w:r>
      <w:r>
        <w:rPr>
          <w:b/>
        </w:rPr>
        <w:t xml:space="preserve">Appeal</w:t>
      </w:r>
    </w:p>
    <w:p>
      <w:pPr>
        <w:jc w:val="both"/>
        <w:spacing w:before="100" w:after="100"/>
        <w:ind w:start="360"/>
        <w:ind w:firstLine="360"/>
      </w:pPr>
      <w:r>
        <w:rPr/>
      </w:r>
      <w:r>
        <w:rPr/>
      </w:r>
      <w:r>
        <w:t xml:space="preserve">Any person aggrieved by a decision of the department may appeal to the District Court Judge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600, Pt. B, §17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1973, c. 303, §3 (AMD). PL 1975, c. 218 (RPR). PL 1981, c. 470, §A81 (AMD). PL 1993, c. 600, §B17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§2040.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§2040.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§2040.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