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Acceptance of federal and other funds</w:t>
      </w:r>
    </w:p>
    <w:p>
      <w:pPr>
        <w:jc w:val="both"/>
        <w:spacing w:before="100" w:after="100"/>
        <w:ind w:start="360"/>
        <w:ind w:firstLine="360"/>
      </w:pPr>
      <w:r>
        <w:rPr/>
      </w:r>
      <w:r>
        <w:rPr/>
      </w:r>
      <w:r>
        <w:t xml:space="preserve">The department shall have authority to accept any federal law now in effect or hereafter enacted which makes federal funds available for public health services of all kinds and to meet such federal requirements with respect to the administration of such funds as are required as conditions precedent to receiving federal funds. The department, subject to the approval of the Governor, shall have authority to accept funds from other sources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1975, c. 771, §215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§2 (AMD). PL 1975, c. 771, §215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§1703. Acceptance of federal and other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Acceptance of federal and other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§1703. ACCEPTANCE OF FEDERAL AND OTHER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