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1551-A</w:t>
        <w:t xml:space="preserve">.  </w:t>
      </w:r>
      <w:r>
        <w:rPr>
          <w:b/>
        </w:rPr>
        <w:t xml:space="preserve">Retail tobacco sales license required</w:t>
      </w:r>
    </w:p>
    <w:p>
      <w:pPr>
        <w:jc w:val="both"/>
        <w:spacing w:before="100" w:after="0"/>
        <w:ind w:start="360"/>
        <w:ind w:firstLine="360"/>
      </w:pPr>
      <w:r>
        <w:rPr>
          <w:b/>
        </w:rPr>
        <w:t>1</w:t>
        <w:t xml:space="preserve">.  </w:t>
      </w:r>
      <w:r>
        <w:rPr>
          <w:b/>
        </w:rPr>
        <w:t xml:space="preserve">Retail tobacco license.</w:t>
        <w:t xml:space="preserve"> </w:t>
      </w:r>
      <w:r>
        <w:t xml:space="preserve"> </w:t>
      </w:r>
      <w:r>
        <w:t xml:space="preserve">It is unlawful for any person, partnership or corporation that engages in retail sales, including retail sales through vending machines or in free distribution of tobacco products, to sell, keep for sale or give away in the course of trade any tobacco products to anyone without first obtaining a retail tobacco license from the department,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2</w:t>
        <w:t xml:space="preserve">.  </w:t>
      </w:r>
      <w:r>
        <w:rPr>
          <w:b/>
        </w:rPr>
        <w:t xml:space="preserve">Violation; penalty.</w:t>
        <w:t xml:space="preserve"> </w:t>
      </w:r>
      <w:r>
        <w:t xml:space="preserve"> </w:t>
      </w:r>
      <w:r>
        <w:t xml:space="preserve">Penalties for violation of </w:t>
      </w:r>
      <w:r>
        <w:t>subchapters I</w:t>
      </w:r>
      <w:r>
        <w:t xml:space="preserve"> and </w:t>
      </w:r>
      <w:r>
        <w:t>II</w:t>
      </w:r>
      <w:r>
        <w:t xml:space="preserve"> are in accordance with those subchapters.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3</w:t>
        <w:t xml:space="preserve">.  </w:t>
      </w:r>
      <w:r>
        <w:rPr>
          <w:b/>
        </w:rPr>
        <w:t xml:space="preserve">Enforcement.</w:t>
        <w:t xml:space="preserve"> </w:t>
      </w:r>
      <w:r>
        <w:t xml:space="preserve"> </w:t>
      </w:r>
      <w:r>
        <w:t xml:space="preserve">The department shall enforce this chapter in cooperation with all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100"/>
        <w:ind w:start="360"/>
        <w:ind w:firstLine="360"/>
      </w:pPr>
      <w:r>
        <w:rPr>
          <w:b/>
        </w:rPr>
        <w:t>4</w:t>
        <w:t xml:space="preserve">.  </w:t>
      </w:r>
      <w:r>
        <w:rPr>
          <w:b/>
        </w:rPr>
        <w:t xml:space="preserve">Publish laws and rules.</w:t>
        <w:t xml:space="preserve"> </w:t>
      </w:r>
      <w:r>
        <w:t xml:space="preserve"> </w:t>
      </w:r>
      <w:r>
        <w:t xml:space="preserve">Every 4 years the department shall publish a compilation of laws and rules concerning retail tobacco sales.</w:t>
      </w:r>
    </w:p>
    <w:p>
      <w:pPr>
        <w:jc w:val="both"/>
        <w:spacing w:before="100" w:after="0"/>
        <w:ind w:start="720"/>
      </w:pPr>
      <w:r>
        <w:rPr/>
        <w:t>A</w:t>
        <w:t xml:space="preserve">.  </w:t>
      </w:r>
      <w:r>
        <w:rPr/>
      </w:r>
      <w:r>
        <w:t xml:space="preserve">The department shall supply a copy of the compilation of laws and rules to every new tobacco retail sales licensee at no charge.  The department may charge a reasonable fee for that compilation to cover the cost of producing the compilation to persons other than licensees.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The department shall notify all licensees of changes in the tobacco laws and rules within 90 days of adjournment of each regular session of the Legislature.</w:t>
      </w:r>
    </w:p>
    <w:p>
      <w:pPr>
        <w:jc w:val="both"/>
        <w:spacing w:before="100" w:after="0"/>
        <w:ind w:start="1080"/>
      </w:pPr>
      <w:r>
        <w:rPr/>
        <w:t>(</w:t>
        <w:t>1</w:t>
        <w:t xml:space="preserve">)  </w:t>
      </w:r>
      <w:r>
        <w:rPr/>
      </w:r>
      <w:r>
        <w:t xml:space="preserve">The department shall supply a copy of the new laws and rules at no charge when requested by licensees.</w:t>
      </w:r>
    </w:p>
    <w:p>
      <w:pPr>
        <w:jc w:val="both"/>
        <w:spacing w:before="100" w:after="0"/>
        <w:ind w:start="1080"/>
      </w:pPr>
      <w:r>
        <w:rPr/>
        <w:t>(</w:t>
        <w:t>2</w:t>
        <w:t xml:space="preserve">)  </w:t>
      </w:r>
      <w:r>
        <w:rPr/>
      </w:r>
      <w:r>
        <w:t xml:space="preserve">The department shall supply a copy of the new laws and rules to persons other than licensees for a reasonable fee.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2011, c. 657, Pt. AA,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§1551-A. Retail tobacco sales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§1551-A. Retail tobacco sales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§1551-A. RETAIL TOBACCO SALES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