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Enforcement</w:t>
      </w:r>
    </w:p>
    <w:p>
      <w:pPr>
        <w:jc w:val="both"/>
        <w:spacing w:before="100" w:after="100"/>
        <w:ind w:start="360"/>
      </w:pPr>
      <w:r>
        <w:rPr>
          <w:b/>
        </w:rPr>
        <w:t>(REALLOCATED FROM TITLE 22, SECTION 1547)</w:t>
      </w:r>
    </w:p>
    <w:p>
      <w:pPr>
        <w:jc w:val="both"/>
        <w:spacing w:before="100" w:after="100"/>
        <w:ind w:start="360"/>
        <w:ind w:firstLine="360"/>
      </w:pPr>
      <w:r>
        <w:rPr/>
      </w:r>
      <w:r>
        <w:rPr/>
      </w:r>
      <w:r>
        <w:t xml:space="preserve">The Attorney General may bring an action to enforce this chapter in District Court or Superior Court and may seek injunctive relief, including a preliminary or final injunction, and fines, penalties and equitable relief and may seek to prevent or restrain actions in violation of this chapter by a person or any person controlling such person.</w:t>
      </w:r>
      <w:r>
        <w:t xml:space="preserve">  </w:t>
      </w:r>
      <w:r xmlns:wp="http://schemas.openxmlformats.org/drawingml/2010/wordprocessingDrawing" xmlns:w15="http://schemas.microsoft.com/office/word/2012/wordml">
        <w:rPr>
          <w:rFonts w:ascii="Arial" w:hAnsi="Arial" w:cs="Arial"/>
          <w:sz w:val="22"/>
          <w:szCs w:val="22"/>
        </w:rPr>
        <w:t xml:space="preserve">[RR 2005,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§1548.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