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§1402. DUTY OF PHYSICIANS AND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