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1322-C</w:t>
        <w:t xml:space="preserve">.  </w:t>
      </w:r>
      <w:r>
        <w:rPr>
          <w:b/>
        </w:rPr>
        <w:t xml:space="preserve">Laboratory certification</w:t>
      </w:r>
    </w:p>
    <w:p>
      <w:pPr>
        <w:jc w:val="both"/>
        <w:spacing w:before="100" w:after="100"/>
        <w:ind w:start="360"/>
        <w:ind w:firstLine="360"/>
      </w:pPr>
      <w:r>
        <w:rPr/>
      </w:r>
      <w:r>
        <w:rPr/>
      </w:r>
      <w:r>
        <w:t xml:space="preserve">By July 1, 1993, the department shall adopt rules regarding the analysis of lead in environmental media, including, but not limited to, air, dust, soil, paint, pewter, pottery and water and shall establish a program to certify laboratories that perform lead analysis to ensure that those laboratories comply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810,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§1322-C. Laboratory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§1322-C. Laboratory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§1322-C. LABORATORY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