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Short title</w:t>
      </w:r>
    </w:p>
    <w:p>
      <w:pPr>
        <w:jc w:val="both"/>
        <w:spacing w:before="100" w:after="100"/>
        <w:ind w:start="360"/>
        <w:ind w:firstLine="360"/>
      </w:pPr>
      <w:r>
        <w:rPr/>
      </w:r>
      <w:r>
        <w:rPr/>
      </w:r>
      <w:r>
        <w:t xml:space="preserve">This Act may be cited as the Lead Poisoning Control Act.</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§1314.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§1314.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