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Immunization information system</w:t>
      </w:r>
    </w:p>
    <w:p>
      <w:pPr>
        <w:jc w:val="both"/>
        <w:spacing w:before="100" w:after="100"/>
        <w:ind w:start="360"/>
        <w:ind w:firstLine="360"/>
      </w:pPr>
      <w:r>
        <w:rPr/>
      </w:r>
      <w:r>
        <w:rPr/>
      </w:r>
      <w:r>
        <w:t xml:space="preserve">The department shall establish an immunization information system and require all immunization providers who participate in the department's immunization distribution system to submit to the department a record of each immunization administered.</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shall adopt rules to implement this section.  The rules must include, but are not limited to, provisions for: permitting a person or the parent or guardian of that person to choose not to be included in the system; the format for reporting information; the confidentiality of information in the system; penalties for unauthorized disclosure of information; immunity for good-faith disclosure of information; data transmission; and the confidentiality of information of persons who have chosen not to be included in the system, except that the department may have access to this information to control an outbreak of a disease preventable by immunization.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may establish an immunization system.  The department must pursue federal funding to support the cost of the information system.  Any state match required to secure federal funding must be made available from existing budget resources.</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§1064. Immunization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Immunization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§1064. IMMUNIZATION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