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Federal funds and commodities</w:t>
      </w:r>
    </w:p>
    <w:p>
      <w:pPr>
        <w:jc w:val="both"/>
        <w:spacing w:before="100" w:after="100"/>
        <w:ind w:start="360"/>
        <w:ind w:firstLine="360"/>
      </w:pPr>
      <w:r>
        <w:rPr/>
      </w:r>
      <w:r>
        <w:rPr/>
      </w:r>
      <w:r>
        <w:t xml:space="preserve">The commissioner, with the consent and approval of the Governor, is authorized and empowered to accept any allotments of federal funds and commodities, to manage and dispose of the same in whatever manner required by federal law and put into effect the United States Social Security Act and any amendments of that act and of other federal acts relating to public welfare.</w:t>
      </w:r>
      <w:r>
        <w:t xml:space="preserve">  </w:t>
      </w:r>
      <w:r xmlns:wp="http://schemas.openxmlformats.org/drawingml/2010/wordprocessingDrawing" xmlns:w15="http://schemas.microsoft.com/office/word/2012/wordml">
        <w:rPr>
          <w:rFonts w:ascii="Arial" w:hAnsi="Arial" w:cs="Arial"/>
          <w:sz w:val="22"/>
          <w:szCs w:val="22"/>
        </w:rPr>
        <w:t xml:space="preserve">[PL 2007, c. 539, Pt. N,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 Federal funds and commodities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Federal funds and commodities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22-A, §211. FEDERAL FUNDS AND COMMODITIES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