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22-A</w:t>
      </w:r>
    </w:p>
    <w:p>
      <w:pPr>
        <w:jc w:val="center"/>
        <w:ind w:start="360"/>
        <w:spacing w:before="300" w:after="300"/>
      </w:pPr>
      <w:r>
        <w:rPr>
          <w:b/>
        </w:rPr>
        <w:t xml:space="preserve">HEALTH AND HUMAN SERVICES</w:t>
      </w:r>
    </w:p>
    <w:p>
      <w:pPr>
        <w:jc w:val="center"/>
        <w:ind w:start="360"/>
        <w:spacing w:before="300" w:after="300"/>
      </w:pPr>
      <w:r>
        <w:rPr>
          <w:b/>
        </w:rPr>
        <w:t>SUBTITLE</w:t>
        <w:t xml:space="preserve"> </w:t>
        <w:t>1</w:t>
      </w:r>
    </w:p>
    <w:p>
      <w:pPr>
        <w:jc w:val="center"/>
        <w:ind w:start="360"/>
        <w:spacing w:before="300" w:after="300"/>
      </w:pPr>
      <w:r>
        <w:rPr>
          <w:b/>
        </w:rPr>
        <w:t xml:space="preserve">DEPARTMENT OF HEALTH AND HUMAN SERVICES</w:t>
      </w:r>
    </w:p>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Residential and long-term care services for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w:t>
      </w:r>
    </w:p>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22-A.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22-A.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