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§629. Voting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Voting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§629. VOTING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