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§1014-B. PUSH POLLING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