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§1221. TEACHING OF VIRTUE AND MORALITY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