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CENTER OF EXCELLENCE FOR AT-RISK STUDENTS</w:t>
      </w:r>
    </w:p>
    <w:p>
      <w:pPr>
        <w:jc w:val="center"/>
        <w:ind w:start="360"/>
        <w:spacing w:before="300" w:after="300"/>
      </w:pPr>
      <w:r>
        <w:rPr>
          <w:b/>
        </w:rPr>
        <w:t>(REPEALED)</w:t>
      </w:r>
    </w:p>
    <w:p>
      <w:pPr>
        <w:jc w:val="both"/>
        <w:spacing w:before="100" w:after="100"/>
        <w:ind w:start="1080" w:hanging="720"/>
      </w:pPr>
      <w:r>
        <w:rPr>
          <w:b/>
        </w:rPr>
        <w:t>§</w:t>
        <w:t>6951</w:t>
        <w:t xml:space="preserve">.  </w:t>
      </w:r>
      <w:r>
        <w:rPr>
          <w:b/>
        </w:rPr>
        <w:t xml:space="preserve">Center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6952</w:t>
        <w:t xml:space="preserve">.  </w:t>
      </w:r>
      <w:r>
        <w:rPr>
          <w:b/>
        </w:rPr>
        <w:t xml:space="preserve">Center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PL 2011, c. 679, §4 (AMD). MRSA T. 20-A §6955 (RP). </w:t>
      </w:r>
    </w:p>
    <w:p>
      <w:pPr>
        <w:jc w:val="both"/>
        <w:spacing w:before="100" w:after="100"/>
        <w:ind w:start="1080" w:hanging="720"/>
      </w:pPr>
      <w:r>
        <w:rPr>
          <w:b/>
        </w:rPr>
        <w:t>§</w:t>
        <w:t>6953</w:t>
        <w:t xml:space="preserve">.  </w:t>
      </w:r>
      <w:r>
        <w:rPr>
          <w:b/>
        </w:rPr>
        <w:t xml:space="preserve">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§12 (NEW).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227. CENTER OF EXCELLENCE FOR AT-RISK STUDENTS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CENTER OF EXCELLENCE FOR AT-RISK STUDENTS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227. CENTER OF EXCELLENCE FOR AT-RISK STUDENTS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