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8601</w:t>
        <w:t xml:space="preserve">.  </w:t>
      </w:r>
      <w:r>
        <w:rPr>
          <w:b/>
        </w:rPr>
        <w:t xml:space="preserve">Purpose</w:t>
      </w:r>
    </w:p>
    <w:p>
      <w:pPr>
        <w:jc w:val="both"/>
        <w:spacing w:before="100" w:after="100"/>
        <w:ind w:start="360"/>
        <w:ind w:firstLine="360"/>
      </w:pPr>
      <w:r>
        <w:rPr/>
      </w:r>
      <w:r>
        <w:rPr/>
      </w:r>
      <w:r>
        <w:t xml:space="preserve">Since education is a lifelong process, it is declared to be the policy of the State to provide and encourage the growth of educational opportunities and, where applicable, to ensure career, citizenship and college readiness for all adults.</w:t>
      </w:r>
      <w:r>
        <w:t xml:space="preserve">  </w:t>
      </w:r>
      <w:r xmlns:wp="http://schemas.openxmlformats.org/drawingml/2010/wordprocessingDrawing" xmlns:w15="http://schemas.microsoft.com/office/word/2012/wordml">
        <w:rPr>
          <w:rFonts w:ascii="Arial" w:hAnsi="Arial" w:cs="Arial"/>
          <w:sz w:val="22"/>
          <w:szCs w:val="22"/>
        </w:rPr>
        <w:t xml:space="preserve">[PL 2007, c. 131,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131,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§8601.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