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6661</w:t>
        <w:t xml:space="preserve">.  </w:t>
      </w:r>
      <w:r>
        <w:rPr>
          <w:b/>
        </w:rPr>
        <w:t xml:space="preserve">Nutrition education</w:t>
      </w:r>
    </w:p>
    <w:p>
      <w:pPr>
        <w:jc w:val="both"/>
        <w:spacing w:before="100" w:after="100"/>
        <w:ind w:start="360"/>
        <w:ind w:firstLine="360"/>
      </w:pPr>
      <w:r>
        <w:rPr/>
      </w:r>
      <w:r>
        <w:rPr/>
      </w:r>
      <w:r>
        <w:t xml:space="preserve">The department shall work with public schools to encourage nutrition education for students and  for teachers and staff as part of coordinated school health programs and school food service programs and in accordance with </w:t>
      </w:r>
      <w:r>
        <w:t>chapter 222</w:t>
      </w:r>
      <w:r>
        <w:t xml:space="preserve">.  The department shall work with public schools to encourage an outreach component for students' parents and guardians as part of a coordinated school health program.  The department may adopt rules to implement the purposes of this section.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§6661. Nutrition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§6661. Nutrition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§6661. NUTRITION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