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6622</w:t>
        <w:t xml:space="preserve">.  </w:t>
      </w:r>
      <w:r>
        <w:rPr>
          <w:b/>
        </w:rPr>
        <w:t xml:space="preserve">Awareness</w:t>
      </w:r>
    </w:p>
    <w:p>
      <w:pPr>
        <w:jc w:val="both"/>
        <w:spacing w:before="100" w:after="100"/>
        <w:ind w:start="360"/>
        <w:ind w:firstLine="360"/>
      </w:pPr>
      <w:r>
        <w:rPr/>
      </w:r>
      <w:r>
        <w:rPr/>
      </w:r>
      <w:r>
        <w:t xml:space="preserve">The department shall request assistance from a statewide organization of principals in distributing information regarding the dangers associated with performance-enhancing substances.  Each school administrative unit shall review its drug and alcohol policies and update such policies to address the use of performance-enhancing substances.</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§6622. Awareness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§6622. Awareness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§6622. AWARENESS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