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§4271. Start-up funding for public preschool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§4271. Start-up funding for public preschool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§4271. START-UP FUNDING FOR PUBLIC PRESCHOOL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