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§20103. Applicability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§20103. Applicability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§20103. APPLICABILITY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