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borrowers whose loans are financed by the authority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Information to an eligible lender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Information necessary to comply with the federal Higher Education Act of 1965, Public Law 89-329, 79 Stat. 1219, Title IV, as amended, or the federal Health Professions Educational Assistance Act of 1976, Public Law 94-484, 90 Stat. 2243, as amended, in each case along with any successor provision, or any administrative requirement under either of those Acts or of any other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Information, the disclosure of which the authority determines is necessary or convenient to the sale or transfer of its bonds or loans;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Information necessary to ensure collection of any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In any litigation or proceeding in which the authority has appeared,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Information required 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