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11411</w:t>
        <w:t xml:space="preserve">.  </w:t>
      </w:r>
      <w:r>
        <w:rPr>
          <w:b/>
        </w:rPr>
        <w:t xml:space="preserve">Maine Educational Loan Program</w:t>
      </w:r>
    </w:p>
    <w:p>
      <w:pPr>
        <w:jc w:val="both"/>
        <w:spacing w:before="100" w:after="100"/>
        <w:ind w:start="360"/>
        <w:ind w:firstLine="360"/>
      </w:pPr>
      <w:r>
        <w:rPr/>
      </w:r>
      <w:r>
        <w:rPr/>
      </w:r>
      <w:r>
        <w:t xml:space="preserve">There is established the Maine Educational Loan Program, referred to in this chapter as "the program" and administered by the Finance Authority of Maine,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170, §8 (NEW);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§8 (RPR). PL 2015, c. 170,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§11411. Maine Educational Loan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§11411. Maine Educational Loan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§11411. MAINE EDUCATIONAL LOAN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