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432</w:t>
      </w:r>
    </w:p>
    <w:p>
      <w:pPr>
        <w:jc w:val="center"/>
        <w:ind w:start="360"/>
        <w:spacing w:before="300" w:after="300"/>
      </w:pPr>
      <w:r>
        <w:rPr>
          <w:b/>
        </w:rPr>
        <w:t xml:space="preserve">MAINE CAREER ADVANTAGE</w:t>
      </w:r>
    </w:p>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432. MAINE CAREER ADVANTAGE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432. MAINE CAREER ADVANTAGE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432. MAINE CAREER ADVANTAGE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