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103-A</w:t>
      </w:r>
    </w:p>
    <w:p>
      <w:pPr>
        <w:jc w:val="center"/>
        <w:ind w:start="360"/>
        <w:spacing w:before="300" w:after="300"/>
      </w:pPr>
      <w:r>
        <w:rPr>
          <w:b/>
        </w:rPr>
        <w:t xml:space="preserve">REGIONAL SCHOOL UNITS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2</w:t>
      </w:r>
    </w:p>
    <w:p>
      <w:pPr>
        <w:jc w:val="center"/>
        <w:ind w:start="360"/>
        <w:spacing w:before="300" w:after="300"/>
      </w:pPr>
      <w:r>
        <w:rPr>
          <w:b/>
        </w:rPr>
        <w:t xml:space="preserve">FORMATION OF REGIONAL SCHOOL UNIT</w:t>
      </w:r>
    </w:p>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jc w:val="center"/>
        <w:ind w:start="360"/>
        <w:spacing w:before="300" w:after="300"/>
      </w:pPr>
      <w:r>
        <w:rPr>
          <w:b/>
        </w:rPr>
        <w:t>SUBCHAPTER</w:t>
        <w:t xml:space="preserve"> </w:t>
        <w:t>3</w:t>
      </w:r>
    </w:p>
    <w:p>
      <w:pPr>
        <w:jc w:val="center"/>
        <w:ind w:start="360"/>
        <w:spacing w:before="300" w:after="300"/>
      </w:pPr>
      <w:r>
        <w:rPr>
          <w:b/>
        </w:rPr>
        <w:t xml:space="preserve">SCHOOL GOVERNANCE; PROGRAM</w:t>
      </w:r>
    </w:p>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5</w:t>
      </w:r>
    </w:p>
    <w:p>
      <w:pPr>
        <w:jc w:val="center"/>
        <w:ind w:start="360"/>
        <w:spacing w:before="300" w:after="300"/>
      </w:pPr>
      <w:r>
        <w:rPr>
          <w:b/>
        </w:rPr>
        <w:t xml:space="preserve">REFERENDUM</w:t>
      </w:r>
    </w:p>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jc w:val="center"/>
        <w:ind w:start="360"/>
        <w:spacing w:before="300" w:after="300"/>
      </w:pPr>
      <w:r>
        <w:rPr>
          <w:b/>
        </w:rPr>
        <w:t>SUBCHAPTER</w:t>
        <w:t xml:space="preserve"> </w:t>
        <w:t>6</w:t>
      </w:r>
    </w:p>
    <w:p>
      <w:pPr>
        <w:jc w:val="center"/>
        <w:ind w:start="360"/>
        <w:spacing w:before="300" w:after="300"/>
      </w:pPr>
      <w:r>
        <w:rPr>
          <w:b/>
        </w:rPr>
        <w:t xml:space="preserve">SCHOOLS</w:t>
      </w:r>
    </w:p>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103-A. REGIONAL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103-A. REGIONAL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103-A. REGIONAL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