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§4 (AMD). PL 1997, c. 187, §5 (AFF). PL 1997, c. 334, §§4-6 (AMD). PL 1999, c. 67, §2 (AMD). PL 1999, c. 486, §5 (AMD). PL 1999, c. 486, §6 (AFF). PL 2001, c. 134, §6 (AMD). PL 2001, c. 273, §4 (AMD). PL 2003, c. 106, §1 (AMD). PL 2003, c. 372, §3 (AMD). PL 2005, c. 366, §5 (AMD). PL 2005, c. 510, §§10-12 (AMD). PL 2007, c. 340, §5 (AMD). PL 2009, c. 94, §6 (AMD). PL 2009, c. 555, §§6, 7 (AMD). PL 2011, c. 303, §§1, 2 (AMD). PL 2013, c. 109, §2 (AMD). PL 2015, c. 217, §§2, 3 (AMD). PL 2015, c. 410, Pt. B, §§5-7 (AMD). PL 2015, c. 443, §§14-16 (AMD). PL 2017, c. 288, Pt. A, §§23-26 (AMD). PL 2019, c. 176, §2 (AMD). PL 2019, c. 407, §4 (AMD). PL 2019, c. 574, §1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§4007.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§4007.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