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3256</w:t>
        <w:t xml:space="preserve">.  </w:t>
      </w:r>
      <w:r>
        <w:rPr>
          <w:b/>
        </w:rPr>
        <w:t xml:space="preserve">Notice to issuing tribunal of modification</w:t>
      </w:r>
    </w:p>
    <w:p>
      <w:pPr>
        <w:jc w:val="both"/>
        <w:spacing w:before="100" w:after="100"/>
        <w:ind w:start="360"/>
        <w:ind w:firstLine="360"/>
      </w:pPr>
      <w:r>
        <w:rPr/>
      </w:r>
      <w:r>
        <w:rPr/>
      </w:r>
      <w:r>
        <w:t xml:space="preserve">Within 30 days after issuance of a modified child-support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r>
        <w:t xml:space="preserve">  </w:t>
      </w:r>
      <w:r xmlns:wp="http://schemas.openxmlformats.org/drawingml/2010/wordprocessingDrawing" xmlns:w15="http://schemas.microsoft.com/office/word/2012/wordml">
        <w:rPr>
          <w:rFonts w:ascii="Arial" w:hAnsi="Arial" w:cs="Arial"/>
          <w:sz w:val="22"/>
          <w:szCs w:val="22"/>
        </w:rPr>
        <w:t xml:space="preserve">[PL 2003, c. 436,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§3256. Notice to issuing tribunal of modification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§3256. Notice to issuing tribunal of modification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§3256. NOTICE TO ISSUING TRIBUNAL OF MODIFICATION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