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1935</w:t>
        <w:t xml:space="preserve">.  </w:t>
      </w:r>
      <w:r>
        <w:rPr>
          <w:b/>
        </w:rPr>
        <w:t xml:space="preserve">Exclusive, continuing jurisdiction</w:t>
      </w:r>
    </w:p>
    <w:p>
      <w:pPr>
        <w:jc w:val="both"/>
        <w:spacing w:before="100" w:after="100"/>
        <w:ind w:start="360"/>
        <w:ind w:firstLine="360"/>
      </w:pPr>
      <w:r>
        <w:rPr/>
      </w:r>
      <w:r>
        <w:rPr/>
      </w:r>
      <w:r>
        <w:t xml:space="preserve">Subject to the jurisdictional standards of </w:t>
      </w:r>
      <w:r>
        <w:t>section 1745</w:t>
      </w:r>
      <w:r>
        <w:t xml:space="preserve">, the court conducting a proceeding under this subchapter has exclusive, continuing jurisdiction of all matters arising out of the gestational carrier agreement until a child born to the gestational carrier during the period governed by the agreement attains the age of 180 days.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§1935. Exclusive, continuing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§1935. Exclusive, continuing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§1935. EXCLUSIVE, CONTINUING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